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Style w:val="Style_2_ch"/>
          <w:rFonts w:ascii="Times New Roman" w:hAnsi="Times New Roman"/>
          <w:b w:val="1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b w:val="1"/>
          <w:color w:val="000000"/>
          <w:sz w:val="28"/>
          <w:u w:val="none"/>
        </w:rPr>
        <w:instrText>HYPERLINK "http://starocherkassk.aksayland.ru/files/content/file/02_03__2014.doc"</w:instrText>
      </w:r>
      <w:r>
        <w:rPr>
          <w:rStyle w:val="Style_2_ch"/>
          <w:rFonts w:ascii="Times New Roman" w:hAnsi="Times New Roman"/>
          <w:b w:val="1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b w:val="1"/>
          <w:color w:val="000000"/>
          <w:sz w:val="28"/>
          <w:u w:val="none"/>
        </w:rPr>
        <w:t>Сведения о доходах, расходах, об имуществе и обязательствах имущественного характера, представленные руководителями муниципальных учреждений  Старочеркасского сельского поселения за</w:t>
      </w:r>
      <w:r>
        <w:rPr>
          <w:rStyle w:val="Style_2_ch"/>
          <w:rFonts w:ascii="Times New Roman" w:hAnsi="Times New Roman"/>
          <w:b w:val="1"/>
          <w:color w:val="000000"/>
          <w:sz w:val="28"/>
          <w:u w:val="none"/>
        </w:rPr>
        <w:t xml:space="preserve"> отчетный период </w:t>
      </w:r>
      <w:r>
        <w:rPr>
          <w:rStyle w:val="Style_2_ch"/>
          <w:rFonts w:ascii="Times New Roman" w:hAnsi="Times New Roman"/>
          <w:b w:val="1"/>
          <w:color w:val="000000"/>
          <w:sz w:val="28"/>
          <w:u w:val="none"/>
        </w:rPr>
        <w:fldChar w:fldCharType="end"/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Style w:val="Style_2_ch"/>
          <w:rFonts w:ascii="Times New Roman" w:hAnsi="Times New Roman"/>
          <w:b w:val="1"/>
          <w:color w:val="000000"/>
          <w:sz w:val="28"/>
          <w:u w:val="none"/>
        </w:rPr>
        <w:fldChar w:fldCharType="begin"/>
      </w:r>
      <w:r>
        <w:rPr>
          <w:rStyle w:val="Style_2_ch"/>
          <w:rFonts w:ascii="Times New Roman" w:hAnsi="Times New Roman"/>
          <w:b w:val="1"/>
          <w:color w:val="000000"/>
          <w:sz w:val="28"/>
          <w:u w:val="none"/>
        </w:rPr>
        <w:instrText>HYPERLINK "http://starocherkassk.aksayland.ru/files/content/file/02_03__2014.doc"</w:instrText>
      </w:r>
      <w:r>
        <w:rPr>
          <w:rStyle w:val="Style_2_ch"/>
          <w:rFonts w:ascii="Times New Roman" w:hAnsi="Times New Roman"/>
          <w:b w:val="1"/>
          <w:color w:val="000000"/>
          <w:sz w:val="28"/>
          <w:u w:val="none"/>
        </w:rPr>
        <w:fldChar w:fldCharType="separate"/>
      </w:r>
      <w:r>
        <w:rPr>
          <w:rStyle w:val="Style_2_ch"/>
          <w:rFonts w:ascii="Times New Roman" w:hAnsi="Times New Roman"/>
          <w:b w:val="1"/>
          <w:color w:val="000000"/>
          <w:sz w:val="28"/>
          <w:u w:val="none"/>
        </w:rPr>
        <w:t>с 1 янв</w:t>
      </w:r>
      <w:r>
        <w:rPr>
          <w:rStyle w:val="Style_2_ch"/>
          <w:rFonts w:ascii="Times New Roman" w:hAnsi="Times New Roman"/>
          <w:b w:val="1"/>
          <w:color w:val="000000"/>
          <w:sz w:val="28"/>
          <w:u w:val="none"/>
        </w:rPr>
        <w:t xml:space="preserve">аря 2021 года по 31 декабря 2021 </w:t>
      </w:r>
      <w:r>
        <w:rPr>
          <w:rStyle w:val="Style_2_ch"/>
          <w:rFonts w:ascii="Times New Roman" w:hAnsi="Times New Roman"/>
          <w:b w:val="1"/>
          <w:color w:val="000000"/>
          <w:sz w:val="28"/>
          <w:u w:val="none"/>
        </w:rPr>
        <w:t>года</w:t>
      </w:r>
      <w:r>
        <w:rPr>
          <w:rStyle w:val="Style_2_ch"/>
          <w:rFonts w:ascii="Times New Roman" w:hAnsi="Times New Roman"/>
          <w:b w:val="1"/>
          <w:color w:val="000000"/>
          <w:sz w:val="28"/>
          <w:u w:val="none"/>
        </w:rPr>
        <w:fldChar w:fldCharType="end"/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3"/>
        <w:tblInd w:type="dxa" w:w="-714"/>
        <w:tblLayout w:type="fixed"/>
      </w:tblPr>
      <w:tblGrid>
        <w:gridCol w:w="403"/>
        <w:gridCol w:w="2263"/>
        <w:gridCol w:w="1245"/>
        <w:gridCol w:w="1350"/>
        <w:gridCol w:w="1338"/>
        <w:gridCol w:w="906"/>
        <w:gridCol w:w="1076"/>
        <w:gridCol w:w="1180"/>
        <w:gridCol w:w="1076"/>
        <w:gridCol w:w="1119"/>
        <w:gridCol w:w="1167"/>
        <w:gridCol w:w="1460"/>
        <w:gridCol w:w="968"/>
      </w:tblGrid>
      <w:tr>
        <w:tc>
          <w:tcPr>
            <w:tcW w:type="dxa" w:w="403"/>
            <w:vMerge w:val="restart"/>
          </w:tcPr>
          <w:p w14:paraId="05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№</w:t>
            </w:r>
          </w:p>
          <w:p w14:paraId="06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п/п</w:t>
            </w:r>
          </w:p>
        </w:tc>
        <w:tc>
          <w:tcPr>
            <w:tcW w:type="dxa" w:w="2263"/>
            <w:vMerge w:val="restart"/>
          </w:tcPr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Фамилия и инициалы лица, чьи сведения размещаются</w:t>
            </w:r>
          </w:p>
        </w:tc>
        <w:tc>
          <w:tcPr>
            <w:tcW w:type="dxa" w:w="1245"/>
            <w:vMerge w:val="restart"/>
          </w:tcPr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Должность</w:t>
            </w:r>
          </w:p>
        </w:tc>
        <w:tc>
          <w:tcPr>
            <w:tcW w:type="dxa" w:w="4670"/>
            <w:gridSpan w:val="4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Объекты недвижимости, находящиеся в собственности</w:t>
            </w:r>
          </w:p>
        </w:tc>
        <w:tc>
          <w:tcPr>
            <w:tcW w:type="dxa" w:w="3375"/>
            <w:gridSpan w:val="3"/>
          </w:tcPr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Объекты недвижимости, находящиеся в пользовании</w:t>
            </w:r>
          </w:p>
        </w:tc>
        <w:tc>
          <w:tcPr>
            <w:tcW w:type="dxa" w:w="1167"/>
            <w:vMerge w:val="restart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Транспортные средства (вид, марка)</w:t>
            </w:r>
          </w:p>
        </w:tc>
        <w:tc>
          <w:tcPr>
            <w:tcW w:type="dxa" w:w="1460"/>
            <w:vMerge w:val="restart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Декларированный годовой доход (руб)</w:t>
            </w:r>
          </w:p>
        </w:tc>
        <w:tc>
          <w:tcPr>
            <w:tcW w:type="dxa" w:w="968"/>
            <w:vMerge w:val="restart"/>
          </w:tcPr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hRule="atLeast" w:val="4524"/>
        </w:trPr>
        <w:tc>
          <w:tcPr>
            <w:tcW w:type="dxa" w:w="403"/>
            <w:gridSpan w:val="1"/>
            <w:vMerge w:val="continue"/>
          </w:tcPr>
          <w:p/>
        </w:tc>
        <w:tc>
          <w:tcPr>
            <w:tcW w:type="dxa" w:w="2263"/>
            <w:gridSpan w:val="1"/>
            <w:vMerge w:val="continue"/>
          </w:tcPr>
          <w:p/>
        </w:tc>
        <w:tc>
          <w:tcPr>
            <w:tcW w:type="dxa" w:w="1245"/>
            <w:gridSpan w:val="1"/>
            <w:vMerge w:val="continue"/>
          </w:tcPr>
          <w:p/>
        </w:tc>
        <w:tc>
          <w:tcPr>
            <w:tcW w:type="dxa" w:w="1350"/>
          </w:tcPr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Вид объекта</w:t>
            </w:r>
          </w:p>
        </w:tc>
        <w:tc>
          <w:tcPr>
            <w:tcW w:type="dxa" w:w="1338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Вид собственности</w:t>
            </w:r>
          </w:p>
        </w:tc>
        <w:tc>
          <w:tcPr>
            <w:tcW w:type="dxa" w:w="906"/>
          </w:tcPr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Площадь</w:t>
            </w:r>
          </w:p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(кв. м.)</w:t>
            </w:r>
          </w:p>
        </w:tc>
        <w:tc>
          <w:tcPr>
            <w:tcW w:type="dxa" w:w="1076"/>
          </w:tcPr>
          <w:p w14:paraId="12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Страна рождения</w:t>
            </w:r>
          </w:p>
        </w:tc>
        <w:tc>
          <w:tcPr>
            <w:tcW w:type="dxa" w:w="1180"/>
          </w:tcPr>
          <w:p w14:paraId="13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Вид объекта</w:t>
            </w:r>
          </w:p>
        </w:tc>
        <w:tc>
          <w:tcPr>
            <w:tcW w:type="dxa" w:w="1076"/>
          </w:tcPr>
          <w:p w14:paraId="14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Площадь </w:t>
            </w:r>
          </w:p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кв.м</w:t>
            </w:r>
            <w:r>
              <w:rPr>
                <w:rFonts w:ascii="Times New Roman" w:hAnsi="Times New Roman"/>
                <w:sz w:val="21"/>
              </w:rPr>
              <w:t>.)</w:t>
            </w:r>
          </w:p>
        </w:tc>
        <w:tc>
          <w:tcPr>
            <w:tcW w:type="dxa" w:w="1119"/>
          </w:tcPr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Страна расположения</w:t>
            </w:r>
          </w:p>
        </w:tc>
        <w:tc>
          <w:tcPr>
            <w:tcW w:type="dxa" w:w="1167"/>
            <w:gridSpan w:val="1"/>
            <w:vMerge w:val="continue"/>
          </w:tcPr>
          <w:p/>
        </w:tc>
        <w:tc>
          <w:tcPr>
            <w:tcW w:type="dxa" w:w="1460"/>
            <w:gridSpan w:val="1"/>
            <w:vMerge w:val="continue"/>
          </w:tcPr>
          <w:p/>
        </w:tc>
        <w:tc>
          <w:tcPr>
            <w:tcW w:type="dxa" w:w="968"/>
            <w:gridSpan w:val="1"/>
            <w:vMerge w:val="continue"/>
          </w:tcPr>
          <w:p/>
        </w:tc>
      </w:tr>
      <w:tr>
        <w:trPr>
          <w:trHeight w:hRule="atLeast" w:val="557"/>
        </w:trPr>
        <w:tc>
          <w:tcPr>
            <w:tcW w:type="dxa" w:w="403"/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263"/>
          </w:tcPr>
          <w:p w14:paraId="18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Таишева Тамара Владимировна</w:t>
            </w:r>
          </w:p>
        </w:tc>
        <w:tc>
          <w:tcPr>
            <w:tcW w:type="dxa" w:w="1245"/>
          </w:tcPr>
          <w:p w14:paraId="19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МБУК ССП «Старочеркасский СДК»</w:t>
            </w:r>
          </w:p>
        </w:tc>
        <w:tc>
          <w:tcPr>
            <w:tcW w:type="dxa" w:w="1350"/>
          </w:tcPr>
          <w:p w14:paraId="1A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type="dxa" w:w="1338"/>
          </w:tcPr>
          <w:p w14:paraId="1B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</w:tc>
        <w:tc>
          <w:tcPr>
            <w:tcW w:type="dxa" w:w="906"/>
          </w:tcPr>
          <w:p w14:paraId="1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49,4</w:t>
            </w:r>
          </w:p>
        </w:tc>
        <w:tc>
          <w:tcPr>
            <w:tcW w:type="dxa" w:w="1076"/>
          </w:tcPr>
          <w:p w14:paraId="1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1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Жилое помещение</w:t>
            </w:r>
          </w:p>
        </w:tc>
        <w:tc>
          <w:tcPr>
            <w:tcW w:type="dxa" w:w="1076"/>
          </w:tcPr>
          <w:p w14:paraId="1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  <w:tc>
          <w:tcPr>
            <w:tcW w:type="dxa" w:w="1119"/>
          </w:tcPr>
          <w:p w14:paraId="2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67"/>
          </w:tcPr>
          <w:p w14:paraId="2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легковой </w:t>
            </w:r>
          </w:p>
          <w:p w14:paraId="2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КИА RIO,</w:t>
            </w:r>
          </w:p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автомобиль легковой</w:t>
            </w:r>
          </w:p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КИА SPORTAGE</w:t>
            </w:r>
          </w:p>
        </w:tc>
        <w:tc>
          <w:tcPr>
            <w:tcW w:type="dxa" w:w="1460"/>
          </w:tcPr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785872,04</w:t>
            </w:r>
          </w:p>
        </w:tc>
        <w:tc>
          <w:tcPr>
            <w:tcW w:type="dxa" w:w="968"/>
          </w:tcPr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11"/>
        </w:trPr>
        <w:tc>
          <w:tcPr>
            <w:tcW w:type="dxa" w:w="403"/>
          </w:tcPr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3"/>
          </w:tcPr>
          <w:p w14:paraId="28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type="dxa" w:w="1245"/>
          </w:tcPr>
          <w:p w14:paraId="29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2A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8"/>
          </w:tcPr>
          <w:p/>
        </w:tc>
        <w:tc>
          <w:tcPr>
            <w:tcW w:type="dxa" w:w="906"/>
          </w:tcPr>
          <w:p w14:paraId="2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2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0"/>
          </w:tcPr>
          <w:p w14:paraId="2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Жилое помещение</w:t>
            </w:r>
          </w:p>
          <w:p w14:paraId="2E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13,2</w:t>
            </w:r>
          </w:p>
        </w:tc>
        <w:tc>
          <w:tcPr>
            <w:tcW w:type="dxa" w:w="1119"/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3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0"/>
          </w:tcPr>
          <w:p w14:paraId="3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8"/>
          </w:tcPr>
          <w:p w14:paraId="3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8000000">
      <w:pPr>
        <w:pStyle w:val="Style_1"/>
        <w:ind/>
        <w:jc w:val="center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822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4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4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4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2022-06-30T06:44:40Z</dcterms:modified>
</cp:coreProperties>
</file>